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3261"/>
      </w:tblGrid>
      <w:tr w:rsidR="00643654" w:rsidRPr="008F1DDE" w14:paraId="5789F4D4" w14:textId="77777777" w:rsidTr="00B404CB">
        <w:trPr>
          <w:trHeight w:val="415"/>
        </w:trPr>
        <w:tc>
          <w:tcPr>
            <w:tcW w:w="129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C458A9" w14:textId="77777777" w:rsidR="00643654" w:rsidRPr="002128EB" w:rsidRDefault="00643654" w:rsidP="006E4E78">
            <w:pPr>
              <w:spacing w:before="60" w:after="60"/>
              <w:jc w:val="center"/>
              <w:rPr>
                <w:rFonts w:eastAsia="Times New Roman" w:cs="Arial"/>
                <w:color w:val="000000"/>
              </w:rPr>
            </w:pPr>
            <w:r w:rsidRPr="002128EB">
              <w:rPr>
                <w:rFonts w:eastAsia="Times New Roman" w:cs="Arial"/>
                <w:b/>
                <w:bCs/>
              </w:rPr>
              <w:t>FORMULARIO DE AUTOEVALUACIÓN PARA OPERADORES DE AERÓDROMO</w:t>
            </w:r>
          </w:p>
        </w:tc>
      </w:tr>
      <w:tr w:rsidR="00643654" w:rsidRPr="008F1DDE" w14:paraId="3CDDDF9E" w14:textId="77777777" w:rsidTr="00B404CB">
        <w:trPr>
          <w:trHeight w:val="80"/>
        </w:trPr>
        <w:tc>
          <w:tcPr>
            <w:tcW w:w="129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825403" w14:textId="161233BE" w:rsidR="00643654" w:rsidRPr="008F1DDE" w:rsidRDefault="002A1376" w:rsidP="00447A0B">
            <w:pPr>
              <w:spacing w:before="60" w:after="60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0</w:t>
            </w:r>
            <w:r w:rsidR="00254A69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C04B7D">
              <w:rPr>
                <w:rFonts w:eastAsia="Times New Roman" w:cs="Arial"/>
                <w:b/>
                <w:bCs/>
                <w:sz w:val="20"/>
                <w:szCs w:val="20"/>
              </w:rPr>
              <w:t>–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254A69">
              <w:rPr>
                <w:rFonts w:eastAsia="Times New Roman" w:cs="Arial"/>
                <w:b/>
                <w:bCs/>
                <w:sz w:val="20"/>
                <w:szCs w:val="20"/>
              </w:rPr>
              <w:t>SISTEMAS ELÉCTRICOS EN AERÓDROMOS</w:t>
            </w:r>
          </w:p>
        </w:tc>
      </w:tr>
      <w:tr w:rsidR="00643654" w:rsidRPr="00EF6D4A" w14:paraId="3453A7FE" w14:textId="77777777" w:rsidTr="00B404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D872C9" w14:textId="59A0F6B0" w:rsidR="00643654" w:rsidRPr="00064F1A" w:rsidRDefault="00643654" w:rsidP="00AA6778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64F1A">
              <w:rPr>
                <w:rFonts w:ascii="Arial Narrow" w:hAnsi="Arial Narrow" w:cs="Arial"/>
                <w:b/>
                <w:sz w:val="16"/>
                <w:szCs w:val="16"/>
              </w:rPr>
              <w:t>NOMBRE DE AERÓDROMO</w:t>
            </w:r>
            <w:r w:rsidRPr="00064F1A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AA6778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AA6778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AA6778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AA6778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AA6778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  <w:bookmarkEnd w:id="0"/>
            <w:r w:rsidRPr="00064F1A">
              <w:rPr>
                <w:rFonts w:ascii="Arial Narrow" w:hAnsi="Arial Narrow"/>
                <w:b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B8604F" w14:textId="77777777" w:rsidR="00643654" w:rsidRPr="00EF6D4A" w:rsidRDefault="00643654" w:rsidP="00E8577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CÓDIGO OACI</w:t>
            </w:r>
            <w:r w:rsidRPr="00EF6D4A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:rsidRPr="00EF6D4A" w14:paraId="46C6EDC3" w14:textId="77777777" w:rsidTr="00B404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08608754" w14:textId="16EBC760" w:rsidR="00643654" w:rsidRPr="00EF6D4A" w:rsidRDefault="00643654" w:rsidP="00AA67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LUGAR/CIUDAD: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AA6778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AA6778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AA6778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AA6778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AA6778">
              <w:rPr>
                <w:rFonts w:ascii="Arial Narrow" w:hAnsi="Arial Narrow"/>
                <w:b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7A346300" w14:textId="77777777" w:rsidR="00643654" w:rsidRPr="00EF6D4A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DEPARTAMENTO: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27C39FF6" w14:textId="77777777" w:rsidTr="00B404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589C27EE" w14:textId="1F93D7A0" w:rsidR="00643654" w:rsidRDefault="00643654" w:rsidP="00AA67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OPERADOR DE AERÓDROMO:</w:t>
            </w:r>
            <w:r w:rsidR="00E85776" w:rsidRP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46890607"/>
                <w:placeholder>
                  <w:docPart w:val="DefaultPlaceholder_1081868575"/>
                </w:placeholder>
                <w:showingPlcHdr/>
                <w:dropDownList>
                  <w:listItem w:value="Elija un elemento."/>
                  <w:listItem w:displayText="NAABOL" w:value="NAABOL"/>
                  <w:listItem w:displayText="SABSA" w:value="SABSA"/>
                </w:dropDownList>
              </w:sdtPr>
              <w:sdtContent>
                <w:r w:rsidR="00AA6778" w:rsidRPr="00CA751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261" w:type="dxa"/>
            <w:shd w:val="clear" w:color="auto" w:fill="FFFFFF"/>
            <w:vAlign w:val="center"/>
          </w:tcPr>
          <w:p w14:paraId="79B4CA59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FECHA: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643654" w14:paraId="3E9585A9" w14:textId="77777777" w:rsidTr="00B404C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639" w:type="dxa"/>
            <w:shd w:val="clear" w:color="auto" w:fill="FFFFFF"/>
            <w:vAlign w:val="center"/>
          </w:tcPr>
          <w:p w14:paraId="16DC5BF0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ENCARGADO DE LA ACTIVIDAD A NOMBRE DEL OPERADOR DE AERÓDROMO: 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separate"/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noProof/>
                <w:sz w:val="16"/>
                <w:szCs w:val="16"/>
                <w:u w:val="single"/>
              </w:rPr>
              <w:t> </w:t>
            </w:r>
            <w:r w:rsidR="00E85776">
              <w:rPr>
                <w:rFonts w:ascii="Arial Narrow" w:hAnsi="Arial Narrow"/>
                <w:b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EBFC92D" w14:textId="77777777" w:rsidR="00643654" w:rsidRDefault="00643654" w:rsidP="006E4E7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FIRMA:</w:t>
            </w:r>
            <w:r w:rsidR="00E857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</w:tbl>
    <w:p w14:paraId="093574B9" w14:textId="77777777" w:rsidR="00643654" w:rsidRDefault="00643654"/>
    <w:tbl>
      <w:tblPr>
        <w:tblW w:w="129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3260"/>
        <w:gridCol w:w="1559"/>
        <w:gridCol w:w="1985"/>
        <w:gridCol w:w="2410"/>
        <w:gridCol w:w="567"/>
      </w:tblGrid>
      <w:tr w:rsidR="00643654" w:rsidRPr="00EF6D4A" w14:paraId="10808E9A" w14:textId="77777777" w:rsidTr="00B404CB">
        <w:trPr>
          <w:trHeight w:val="353"/>
          <w:tblHeader/>
        </w:trPr>
        <w:tc>
          <w:tcPr>
            <w:tcW w:w="567" w:type="dxa"/>
            <w:shd w:val="clear" w:color="auto" w:fill="D9D9D9"/>
            <w:vAlign w:val="center"/>
          </w:tcPr>
          <w:p w14:paraId="076FC906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Ítem 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>N°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67FA9D1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Referencia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AA2B16F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Pregunta del requisito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5E7DC87D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80FA5">
              <w:rPr>
                <w:rFonts w:ascii="Arial Narrow" w:hAnsi="Arial Narrow"/>
                <w:b/>
                <w:sz w:val="16"/>
                <w:szCs w:val="16"/>
              </w:rPr>
              <w:t>Orientación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A814319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Autoevaluación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BF7C7D5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Evidencias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BBA2799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Comentarios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F8DDDBD" w14:textId="77777777" w:rsidR="00643654" w:rsidRPr="00C80FA5" w:rsidRDefault="00643654" w:rsidP="0064365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E.</w:t>
            </w:r>
            <w:r w:rsidRPr="00C80FA5">
              <w:rPr>
                <w:rFonts w:ascii="Arial Narrow" w:hAnsi="Arial Narrow"/>
                <w:b/>
                <w:sz w:val="16"/>
                <w:szCs w:val="16"/>
              </w:rPr>
              <w:t xml:space="preserve"> I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</w:tr>
      <w:tr w:rsidR="0098667C" w:rsidRPr="0042642E" w14:paraId="5323EA13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2EEB75D9" w14:textId="44E6AD77" w:rsidR="0098667C" w:rsidRPr="00B71FFF" w:rsidRDefault="0098667C" w:rsidP="009866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9991F5" w14:textId="77777777" w:rsidR="0098667C" w:rsidRPr="00A3707C" w:rsidRDefault="0098667C" w:rsidP="0098667C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3707C">
              <w:rPr>
                <w:rFonts w:ascii="Arial Narrow" w:hAnsi="Arial Narrow" w:cs="Times New Roman"/>
                <w:sz w:val="16"/>
                <w:szCs w:val="16"/>
              </w:rPr>
              <w:t>RAB 137</w:t>
            </w:r>
          </w:p>
          <w:p w14:paraId="7E815B23" w14:textId="77777777" w:rsidR="0098667C" w:rsidRDefault="0098667C" w:rsidP="0098667C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3707C">
              <w:rPr>
                <w:rFonts w:ascii="Arial Narrow" w:hAnsi="Arial Narrow" w:cs="Times New Roman"/>
                <w:sz w:val="16"/>
                <w:szCs w:val="16"/>
              </w:rPr>
              <w:t>137.</w:t>
            </w:r>
            <w:r>
              <w:rPr>
                <w:rFonts w:ascii="Arial Narrow" w:hAnsi="Arial Narrow" w:cs="Times New Roman"/>
                <w:sz w:val="16"/>
                <w:szCs w:val="16"/>
              </w:rPr>
              <w:t>601</w:t>
            </w:r>
          </w:p>
          <w:p w14:paraId="2DD87B07" w14:textId="43924693" w:rsidR="0098667C" w:rsidRPr="00C80FA5" w:rsidRDefault="0098667C" w:rsidP="009866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(a), (b)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F490CF" w14:textId="5DAA4ECA" w:rsidR="0098667C" w:rsidRPr="00C80FA5" w:rsidRDefault="0098667C" w:rsidP="009866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Para el suministro de energía eléctrica al aeródromo ¿</w:t>
            </w:r>
            <w:r w:rsidRPr="008148F7">
              <w:rPr>
                <w:rFonts w:ascii="Arial Narrow" w:hAnsi="Arial Narrow" w:cs="Arial"/>
                <w:sz w:val="16"/>
                <w:szCs w:val="16"/>
              </w:rPr>
              <w:t>se dispon</w:t>
            </w:r>
            <w:r>
              <w:rPr>
                <w:rFonts w:ascii="Arial Narrow" w:hAnsi="Arial Narrow" w:cs="Arial"/>
                <w:sz w:val="16"/>
                <w:szCs w:val="16"/>
              </w:rPr>
              <w:t>en d</w:t>
            </w:r>
            <w:r w:rsidRPr="008148F7">
              <w:rPr>
                <w:rFonts w:ascii="Arial Narrow" w:hAnsi="Arial Narrow" w:cs="Arial"/>
                <w:sz w:val="16"/>
                <w:szCs w:val="16"/>
              </w:rPr>
              <w:t>e fuentes de energía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que permitan </w:t>
            </w:r>
            <w:r w:rsidRPr="00011E8A">
              <w:rPr>
                <w:rFonts w:ascii="Arial Narrow" w:hAnsi="Arial Narrow" w:cs="Arial"/>
                <w:sz w:val="16"/>
                <w:szCs w:val="16"/>
                <w:lang w:val="es-ES"/>
              </w:rPr>
              <w:t>operaciones seguras, regulares y eficientes</w:t>
            </w:r>
            <w:r>
              <w:rPr>
                <w:rFonts w:ascii="Arial Narrow" w:hAnsi="Arial Narrow" w:cs="Arial"/>
                <w:sz w:val="16"/>
                <w:szCs w:val="16"/>
              </w:rPr>
              <w:t>?</w:t>
            </w:r>
            <w:r w:rsidRPr="00A3707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9D8FF8" w14:textId="40DAF557" w:rsidR="0098667C" w:rsidRDefault="0098667C" w:rsidP="0098667C">
            <w:pPr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D9639B">
              <w:rPr>
                <w:rFonts w:ascii="Arial Narrow" w:hAnsi="Arial Narrow"/>
                <w:sz w:val="16"/>
                <w:szCs w:val="16"/>
                <w:lang w:val="es-ES"/>
              </w:rPr>
              <w:t>Inspeccionar el sistema eléctrico del aeródromo para comprobar que:</w:t>
            </w:r>
          </w:p>
          <w:p w14:paraId="5CB95698" w14:textId="5F19C863" w:rsidR="0098667C" w:rsidRDefault="0098667C" w:rsidP="0098667C">
            <w:pPr>
              <w:pStyle w:val="Prrafodelista"/>
              <w:numPr>
                <w:ilvl w:val="0"/>
                <w:numId w:val="11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Pr="0098667C">
              <w:rPr>
                <w:rFonts w:ascii="Arial Narrow" w:hAnsi="Arial Narrow"/>
                <w:sz w:val="16"/>
                <w:szCs w:val="16"/>
              </w:rPr>
              <w:t>a fuente primaria de energía esté funcionando adecuadamente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321402C6" w14:textId="7E1154DF" w:rsidR="0098667C" w:rsidRPr="0098667C" w:rsidRDefault="0098667C" w:rsidP="0098667C">
            <w:pPr>
              <w:pStyle w:val="Prrafodelista"/>
              <w:numPr>
                <w:ilvl w:val="0"/>
                <w:numId w:val="11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98667C">
              <w:rPr>
                <w:rFonts w:ascii="Arial Narrow" w:hAnsi="Arial Narrow"/>
                <w:sz w:val="16"/>
                <w:szCs w:val="16"/>
              </w:rPr>
              <w:t xml:space="preserve">n el diseño de la instalación de los sistemas eléctricos se tiene en cuenta los factores que pueden provocar fallas. </w:t>
            </w:r>
          </w:p>
          <w:p w14:paraId="337945E4" w14:textId="7CA070CA" w:rsidR="0098667C" w:rsidRPr="0098667C" w:rsidRDefault="0098667C" w:rsidP="0098667C">
            <w:pPr>
              <w:pStyle w:val="Prrafodelista"/>
              <w:ind w:left="31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</w:tc>
        <w:bookmarkStart w:id="1" w:name="_GoBack"/>
        <w:tc>
          <w:tcPr>
            <w:tcW w:w="1559" w:type="dxa"/>
            <w:shd w:val="clear" w:color="auto" w:fill="auto"/>
          </w:tcPr>
          <w:p w14:paraId="4E7B0FF9" w14:textId="1CED246D" w:rsidR="0098667C" w:rsidRDefault="0098667C" w:rsidP="0098667C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AA6778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2"/>
            <w:bookmarkEnd w:id="1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62209C9F" w14:textId="06C53986" w:rsidR="0098667C" w:rsidRDefault="0098667C" w:rsidP="0098667C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2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AA6778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18255F73" w14:textId="4A7F1884" w:rsidR="0098667C" w:rsidRPr="0043448A" w:rsidRDefault="0098667C" w:rsidP="0098667C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3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AA6778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bookmarkEnd w:id="4"/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6CCB7087" w14:textId="69AAB3C4" w:rsidR="0098667C" w:rsidRPr="00C80FA5" w:rsidRDefault="0098667C" w:rsidP="00AA677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AA6778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AA6778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AA6778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AA6778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AA6778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53A8DC42" w14:textId="77777777" w:rsidR="0098667C" w:rsidRPr="00C80FA5" w:rsidRDefault="0098667C" w:rsidP="0098667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6BB80" w14:textId="61AACF7A" w:rsidR="0098667C" w:rsidRPr="00643654" w:rsidRDefault="0098667C" w:rsidP="0098667C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A.2</w:t>
            </w:r>
          </w:p>
        </w:tc>
      </w:tr>
      <w:tr w:rsidR="0098667C" w:rsidRPr="00EF6D4A" w14:paraId="36C2B7A3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23D7CD2C" w14:textId="6290A45F" w:rsidR="0098667C" w:rsidRPr="0054449B" w:rsidRDefault="0098667C" w:rsidP="0098667C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0605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E9469" w14:textId="61FEC1F4" w:rsidR="0098667C" w:rsidRPr="00C80FA5" w:rsidRDefault="0098667C" w:rsidP="009866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RAB 137 137.601 (c), (d), (f), (g), (h), (i)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60556A" w14:textId="056387A2" w:rsidR="0098667C" w:rsidRPr="00C80FA5" w:rsidRDefault="0098667C" w:rsidP="009866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 caso de falla de la fuente primaria de energía eléctrica, ¿se dispone de fuente de energía secundaria?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570B19" w14:textId="79F1F68E" w:rsidR="0098667C" w:rsidRDefault="0098667C" w:rsidP="0098667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Verificar que:</w:t>
            </w:r>
          </w:p>
          <w:p w14:paraId="27F09969" w14:textId="2B9CE7DB" w:rsidR="0098667C" w:rsidRDefault="0098667C" w:rsidP="0098667C">
            <w:pPr>
              <w:pStyle w:val="Prrafodelista"/>
              <w:numPr>
                <w:ilvl w:val="0"/>
                <w:numId w:val="9"/>
              </w:numPr>
              <w:ind w:left="316" w:hanging="14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La f</w:t>
            </w:r>
            <w:r w:rsidRPr="00063F79">
              <w:rPr>
                <w:rFonts w:ascii="Arial Narrow" w:hAnsi="Arial Narrow"/>
                <w:sz w:val="16"/>
                <w:szCs w:val="16"/>
              </w:rPr>
              <w:t>uente secundaria se encuentra en funcionamiento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53653BB0" w14:textId="77777777" w:rsidR="0098667C" w:rsidRPr="00935060" w:rsidRDefault="0098667C" w:rsidP="0098667C">
            <w:pPr>
              <w:pStyle w:val="Prrafodelista"/>
              <w:numPr>
                <w:ilvl w:val="0"/>
                <w:numId w:val="9"/>
              </w:numPr>
              <w:ind w:left="316" w:hanging="140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063F79">
              <w:rPr>
                <w:rFonts w:ascii="Arial Narrow" w:hAnsi="Arial Narrow"/>
                <w:sz w:val="16"/>
                <w:szCs w:val="16"/>
              </w:rPr>
              <w:t>xiste evidencia que, en caso de falla de la fuente primaria de energía eléctrica, las instalaciones se conmutarán automáticamente a la fuente secundaria de energía eléctrica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2A9EDD4F" w14:textId="77777777" w:rsidR="0098667C" w:rsidRDefault="0098667C" w:rsidP="0098667C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  <w:p w14:paraId="65D63662" w14:textId="77777777" w:rsidR="0098667C" w:rsidRDefault="0098667C" w:rsidP="0098667C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935060">
              <w:rPr>
                <w:rFonts w:ascii="Arial Narrow" w:hAnsi="Arial Narrow"/>
                <w:sz w:val="16"/>
                <w:szCs w:val="16"/>
                <w:lang w:val="es-PE"/>
              </w:rPr>
              <w:t>El tiempo de conmutación está de acuerdo a la tabla H-1 de la RAB 137.</w:t>
            </w:r>
          </w:p>
          <w:p w14:paraId="79E0C126" w14:textId="68FA4FD9" w:rsidR="00267846" w:rsidRPr="0098667C" w:rsidRDefault="00267846" w:rsidP="0098667C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</w:tc>
        <w:tc>
          <w:tcPr>
            <w:tcW w:w="1559" w:type="dxa"/>
            <w:shd w:val="clear" w:color="auto" w:fill="auto"/>
          </w:tcPr>
          <w:p w14:paraId="3E5ED7ED" w14:textId="77777777" w:rsidR="0098667C" w:rsidRDefault="0098667C" w:rsidP="0098667C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578E6228" w14:textId="77777777" w:rsidR="0098667C" w:rsidRDefault="0098667C" w:rsidP="0098667C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0C58882E" w14:textId="77777777" w:rsidR="0098667C" w:rsidRPr="0043448A" w:rsidRDefault="0098667C" w:rsidP="0098667C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3B6CF28D" w14:textId="77777777" w:rsidR="0098667C" w:rsidRPr="00C80FA5" w:rsidRDefault="0098667C" w:rsidP="0098667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5DA1DAA5" w14:textId="77777777" w:rsidR="0098667C" w:rsidRPr="00C80FA5" w:rsidRDefault="0098667C" w:rsidP="0098667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DDA76" w14:textId="50CDC703" w:rsidR="0098667C" w:rsidRPr="00643654" w:rsidRDefault="0098667C" w:rsidP="0098667C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A.2</w:t>
            </w:r>
          </w:p>
        </w:tc>
      </w:tr>
      <w:tr w:rsidR="0098667C" w:rsidRPr="00EF6D4A" w14:paraId="6C37A169" w14:textId="77777777" w:rsidTr="00B404CB">
        <w:trPr>
          <w:trHeight w:val="353"/>
        </w:trPr>
        <w:tc>
          <w:tcPr>
            <w:tcW w:w="567" w:type="dxa"/>
            <w:shd w:val="clear" w:color="auto" w:fill="auto"/>
            <w:vAlign w:val="center"/>
          </w:tcPr>
          <w:p w14:paraId="670BA8BA" w14:textId="7B6F8C86" w:rsidR="0098667C" w:rsidRPr="0054449B" w:rsidRDefault="0098667C" w:rsidP="0098667C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0610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E70D2" w14:textId="016EDC6E" w:rsidR="0098667C" w:rsidRPr="00C80FA5" w:rsidRDefault="0098667C" w:rsidP="009866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RAB 137 137.601 (j)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CB1157" w14:textId="150B233B" w:rsidR="0098667C" w:rsidRDefault="0098667C" w:rsidP="009866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 fuente secundaria de energía eléctrica en caso de falla de la fuente primaria, suministra energía a las instalaciones del aeródromo.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535BE9" w14:textId="77777777" w:rsidR="0098667C" w:rsidRDefault="0098667C" w:rsidP="00267846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Verificar que las instalaciones del aeródromo que son alimentadas con energía eléctrica de la fuente secundaria, en caso de falla de la fuente primaria, al menos son:</w:t>
            </w:r>
          </w:p>
          <w:p w14:paraId="22DE1610" w14:textId="6F9079FD" w:rsidR="0098667C" w:rsidRDefault="0098667C" w:rsidP="00267846">
            <w:pPr>
              <w:pStyle w:val="Default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3F79">
              <w:rPr>
                <w:rFonts w:ascii="Arial Narrow" w:hAnsi="Arial Narrow"/>
                <w:sz w:val="16"/>
                <w:szCs w:val="16"/>
              </w:rPr>
              <w:t>la lámpara de señales y alumbrado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3F79">
              <w:rPr>
                <w:rFonts w:ascii="Arial Narrow" w:hAnsi="Arial Narrow"/>
                <w:sz w:val="16"/>
                <w:szCs w:val="16"/>
              </w:rPr>
              <w:t xml:space="preserve">mínimo necesario para </w:t>
            </w:r>
            <w:r>
              <w:rPr>
                <w:rFonts w:ascii="Arial Narrow" w:hAnsi="Arial Narrow"/>
                <w:sz w:val="16"/>
                <w:szCs w:val="16"/>
              </w:rPr>
              <w:t>el control de tránsito aéreo.</w:t>
            </w:r>
          </w:p>
          <w:p w14:paraId="71DB1607" w14:textId="77777777" w:rsidR="0098667C" w:rsidRDefault="0098667C" w:rsidP="00267846">
            <w:pPr>
              <w:pStyle w:val="Default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3F79">
              <w:rPr>
                <w:rFonts w:ascii="Arial Narrow" w:hAnsi="Arial Narrow"/>
                <w:sz w:val="16"/>
                <w:szCs w:val="16"/>
              </w:rPr>
              <w:t xml:space="preserve">todas las luces de obstáculos </w:t>
            </w:r>
            <w:r>
              <w:rPr>
                <w:rFonts w:ascii="Arial Narrow" w:hAnsi="Arial Narrow"/>
                <w:sz w:val="16"/>
                <w:szCs w:val="16"/>
              </w:rPr>
              <w:t xml:space="preserve">que </w:t>
            </w:r>
            <w:r w:rsidRPr="00063F79">
              <w:rPr>
                <w:rFonts w:ascii="Arial Narrow" w:hAnsi="Arial Narrow"/>
                <w:sz w:val="16"/>
                <w:szCs w:val="16"/>
              </w:rPr>
              <w:t>sean indispensables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3F79">
              <w:rPr>
                <w:rFonts w:ascii="Arial Narrow" w:hAnsi="Arial Narrow"/>
                <w:sz w:val="16"/>
                <w:szCs w:val="16"/>
              </w:rPr>
              <w:t>para garantizar la seguridad de las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3F79">
              <w:rPr>
                <w:rFonts w:ascii="Arial Narrow" w:hAnsi="Arial Narrow"/>
                <w:sz w:val="16"/>
                <w:szCs w:val="16"/>
              </w:rPr>
              <w:t xml:space="preserve">operaciones de las aeronaves; </w:t>
            </w:r>
          </w:p>
          <w:p w14:paraId="1450C77F" w14:textId="77777777" w:rsidR="0098667C" w:rsidRDefault="0098667C" w:rsidP="00267846">
            <w:pPr>
              <w:pStyle w:val="Default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3F79">
              <w:rPr>
                <w:rFonts w:ascii="Arial Narrow" w:hAnsi="Arial Narrow"/>
                <w:sz w:val="16"/>
                <w:szCs w:val="16"/>
              </w:rPr>
              <w:t>la iluminación de aproximación, de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3F79">
              <w:rPr>
                <w:rFonts w:ascii="Arial Narrow" w:hAnsi="Arial Narrow"/>
                <w:sz w:val="16"/>
                <w:szCs w:val="16"/>
              </w:rPr>
              <w:t xml:space="preserve">pista y de calle de rodaje, </w:t>
            </w:r>
          </w:p>
          <w:p w14:paraId="3DAA2557" w14:textId="77777777" w:rsidR="0098667C" w:rsidRDefault="0098667C" w:rsidP="00267846">
            <w:pPr>
              <w:pStyle w:val="Default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3F79">
              <w:rPr>
                <w:rFonts w:ascii="Arial Narrow" w:hAnsi="Arial Narrow"/>
                <w:sz w:val="16"/>
                <w:szCs w:val="16"/>
              </w:rPr>
              <w:t xml:space="preserve">el equipo meteorológico; </w:t>
            </w:r>
          </w:p>
          <w:p w14:paraId="14DDED14" w14:textId="11EDFBCA" w:rsidR="0098667C" w:rsidRPr="00267846" w:rsidRDefault="0098667C" w:rsidP="00267846">
            <w:pPr>
              <w:pStyle w:val="Default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3F79">
              <w:rPr>
                <w:rFonts w:ascii="Arial Narrow" w:hAnsi="Arial Narrow"/>
                <w:sz w:val="16"/>
                <w:szCs w:val="16"/>
              </w:rPr>
              <w:t>la iluminación indispensable para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3F79">
              <w:rPr>
                <w:rFonts w:ascii="Arial Narrow" w:hAnsi="Arial Narrow"/>
                <w:sz w:val="16"/>
                <w:szCs w:val="16"/>
              </w:rPr>
              <w:t>fines de seguridad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14:paraId="20DCCE4B" w14:textId="77777777" w:rsidR="0098667C" w:rsidRDefault="0098667C" w:rsidP="00267846">
            <w:pPr>
              <w:pStyle w:val="Default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3F79">
              <w:rPr>
                <w:rFonts w:ascii="Arial Narrow" w:hAnsi="Arial Narrow"/>
                <w:sz w:val="16"/>
                <w:szCs w:val="16"/>
              </w:rPr>
              <w:t>equipo e instalaciones esenciales del aeródromo que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3F79">
              <w:rPr>
                <w:rFonts w:ascii="Arial Narrow" w:hAnsi="Arial Narrow"/>
                <w:sz w:val="16"/>
                <w:szCs w:val="16"/>
              </w:rPr>
              <w:t xml:space="preserve">atienden a casos de emergencia; </w:t>
            </w:r>
          </w:p>
          <w:p w14:paraId="51E2C54C" w14:textId="01FF7752" w:rsidR="0098667C" w:rsidRDefault="0098667C" w:rsidP="00267846">
            <w:pPr>
              <w:pStyle w:val="Default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3F79">
              <w:rPr>
                <w:rFonts w:ascii="Arial Narrow" w:hAnsi="Arial Narrow"/>
                <w:sz w:val="16"/>
                <w:szCs w:val="16"/>
              </w:rPr>
              <w:lastRenderedPageBreak/>
              <w:t>iluminación con proyectores de los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3F79">
              <w:rPr>
                <w:rFonts w:ascii="Arial Narrow" w:hAnsi="Arial Narrow"/>
                <w:sz w:val="16"/>
                <w:szCs w:val="16"/>
              </w:rPr>
              <w:t>puestos aislados que hayan sido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63F79">
              <w:rPr>
                <w:rFonts w:ascii="Arial Narrow" w:hAnsi="Arial Narrow"/>
                <w:sz w:val="16"/>
                <w:szCs w:val="16"/>
              </w:rPr>
              <w:t>designados para estacionamiento de</w:t>
            </w:r>
            <w:r>
              <w:rPr>
                <w:rFonts w:ascii="Arial Narrow" w:hAnsi="Arial Narrow"/>
                <w:sz w:val="16"/>
                <w:szCs w:val="16"/>
              </w:rPr>
              <w:t xml:space="preserve"> aeronaves</w:t>
            </w:r>
          </w:p>
          <w:p w14:paraId="12B32A33" w14:textId="77777777" w:rsidR="0098667C" w:rsidRDefault="0098667C" w:rsidP="00267846">
            <w:pPr>
              <w:pStyle w:val="Default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67846">
              <w:rPr>
                <w:rFonts w:ascii="Arial Narrow" w:hAnsi="Arial Narrow"/>
                <w:sz w:val="16"/>
                <w:szCs w:val="16"/>
              </w:rPr>
              <w:t>iluminación de las áreas de la plataforma sobre las que podrían caminar los pasajeros.</w:t>
            </w:r>
          </w:p>
          <w:p w14:paraId="422DA881" w14:textId="4880DD36" w:rsidR="00267846" w:rsidRPr="00267846" w:rsidRDefault="00267846" w:rsidP="00267846">
            <w:pPr>
              <w:pStyle w:val="Default"/>
              <w:ind w:left="316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CA62C23" w14:textId="77777777" w:rsidR="0098667C" w:rsidRDefault="0098667C" w:rsidP="0098667C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lastRenderedPageBreak/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3DF81B4C" w14:textId="77777777" w:rsidR="0098667C" w:rsidRDefault="0098667C" w:rsidP="0098667C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723C11B1" w14:textId="77777777" w:rsidR="0098667C" w:rsidRPr="0043448A" w:rsidRDefault="0098667C" w:rsidP="0098667C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057FA066" w14:textId="129100EA" w:rsidR="0098667C" w:rsidRPr="00C80FA5" w:rsidRDefault="0098667C" w:rsidP="0098667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0C392E84" w14:textId="77777777" w:rsidR="0098667C" w:rsidRPr="00C80FA5" w:rsidRDefault="0098667C" w:rsidP="0098667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A400B" w14:textId="402DC719" w:rsidR="0098667C" w:rsidRPr="00643654" w:rsidRDefault="0098667C" w:rsidP="0098667C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A.1</w:t>
            </w:r>
          </w:p>
        </w:tc>
      </w:tr>
      <w:tr w:rsidR="0098667C" w:rsidRPr="00EF6D4A" w14:paraId="07895CB2" w14:textId="77777777" w:rsidTr="009D3204">
        <w:trPr>
          <w:trHeight w:val="1268"/>
        </w:trPr>
        <w:tc>
          <w:tcPr>
            <w:tcW w:w="567" w:type="dxa"/>
            <w:shd w:val="clear" w:color="auto" w:fill="auto"/>
            <w:vAlign w:val="center"/>
          </w:tcPr>
          <w:p w14:paraId="2D383AEC" w14:textId="52ACB15C" w:rsidR="0098667C" w:rsidRPr="0054449B" w:rsidRDefault="0098667C" w:rsidP="0098667C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0615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DF874" w14:textId="461CFEB9" w:rsidR="0098667C" w:rsidRPr="00C80FA5" w:rsidRDefault="0098667C" w:rsidP="009866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RAB 137 137.601 (k)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17698" w14:textId="6164D30D" w:rsidR="0098667C" w:rsidRDefault="0098667C" w:rsidP="009866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La fuente secundaria de energía eléctrica, cumple con los requisitos relativos. 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017D60" w14:textId="77777777" w:rsidR="0098667C" w:rsidRDefault="0098667C" w:rsidP="0098667C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que la fuente secundaria de energía:</w:t>
            </w:r>
          </w:p>
          <w:p w14:paraId="73C1C8AF" w14:textId="016EAD54" w:rsidR="0098667C" w:rsidRPr="00267846" w:rsidRDefault="0098667C" w:rsidP="00267846">
            <w:pPr>
              <w:pStyle w:val="Prrafodelista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</w:rPr>
              <w:t>Es una red independiente al servicio público, desde una subestación distinta.</w:t>
            </w:r>
          </w:p>
          <w:p w14:paraId="0858D11B" w14:textId="77777777" w:rsidR="0098667C" w:rsidRPr="00267846" w:rsidRDefault="0098667C" w:rsidP="00267846">
            <w:pPr>
              <w:pStyle w:val="Prrafodelista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267846">
              <w:rPr>
                <w:rFonts w:ascii="Arial Narrow" w:hAnsi="Arial Narrow"/>
                <w:sz w:val="16"/>
                <w:szCs w:val="16"/>
              </w:rPr>
              <w:t>Está constituida por grupos electrógenos, baterías, etc., de las que se pueda obtener energía eléctrica.</w:t>
            </w:r>
          </w:p>
          <w:p w14:paraId="28B7A2EF" w14:textId="46C82C50" w:rsidR="00267846" w:rsidRPr="00267846" w:rsidRDefault="00267846" w:rsidP="00267846">
            <w:pPr>
              <w:pStyle w:val="Prrafodelista"/>
              <w:ind w:left="31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</w:tc>
        <w:tc>
          <w:tcPr>
            <w:tcW w:w="1559" w:type="dxa"/>
            <w:shd w:val="clear" w:color="auto" w:fill="auto"/>
          </w:tcPr>
          <w:p w14:paraId="27F28497" w14:textId="77777777" w:rsidR="0098667C" w:rsidRDefault="0098667C" w:rsidP="0098667C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1DD55F90" w14:textId="77777777" w:rsidR="0098667C" w:rsidRDefault="0098667C" w:rsidP="0098667C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  <w:t>In</w:t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satisfactorio</w:t>
            </w:r>
          </w:p>
          <w:p w14:paraId="1DBFCE76" w14:textId="77777777" w:rsidR="0098667C" w:rsidRPr="0043448A" w:rsidRDefault="0098667C" w:rsidP="0098667C">
            <w:pPr>
              <w:pStyle w:val="Prrafodelista"/>
              <w:widowControl w:val="0"/>
              <w:tabs>
                <w:tab w:val="left" w:pos="310"/>
              </w:tabs>
              <w:ind w:left="34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</w:r>
            <w:r w:rsidR="00F21559"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es-ES_tradnl"/>
              </w:rPr>
              <w:tab/>
            </w:r>
            <w:r w:rsidRPr="0043448A">
              <w:rPr>
                <w:rFonts w:ascii="Arial Narrow" w:hAnsi="Arial Narrow" w:cs="Arial"/>
                <w:sz w:val="16"/>
                <w:szCs w:val="16"/>
                <w:lang w:val="es-ES_tradnl"/>
              </w:rPr>
              <w:t>No aplica</w:t>
            </w:r>
          </w:p>
        </w:tc>
        <w:tc>
          <w:tcPr>
            <w:tcW w:w="1985" w:type="dxa"/>
            <w:shd w:val="clear" w:color="auto" w:fill="auto"/>
          </w:tcPr>
          <w:p w14:paraId="626052B7" w14:textId="77777777" w:rsidR="0098667C" w:rsidRPr="00C80FA5" w:rsidRDefault="0098667C" w:rsidP="0098667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</w:tcPr>
          <w:p w14:paraId="24522C1F" w14:textId="77777777" w:rsidR="0098667C" w:rsidRPr="00C80FA5" w:rsidRDefault="0098667C" w:rsidP="0098667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35B7A" w14:textId="0DBB07DC" w:rsidR="0098667C" w:rsidRPr="00643654" w:rsidRDefault="0098667C" w:rsidP="0098667C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A.2</w:t>
            </w:r>
          </w:p>
        </w:tc>
      </w:tr>
      <w:tr w:rsidR="0098667C" w:rsidRPr="00EF6D4A" w14:paraId="012CD8E0" w14:textId="77777777" w:rsidTr="009D3204">
        <w:trPr>
          <w:trHeight w:val="1268"/>
        </w:trPr>
        <w:tc>
          <w:tcPr>
            <w:tcW w:w="567" w:type="dxa"/>
            <w:shd w:val="clear" w:color="auto" w:fill="auto"/>
            <w:vAlign w:val="center"/>
          </w:tcPr>
          <w:p w14:paraId="28D25D05" w14:textId="6D5B8819" w:rsidR="0098667C" w:rsidRPr="0054449B" w:rsidRDefault="0098667C" w:rsidP="0098667C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0620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74C8E" w14:textId="6B8116F3" w:rsidR="0098667C" w:rsidRPr="00C80FA5" w:rsidRDefault="0098667C" w:rsidP="009866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RAB 137 137.605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509EDB" w14:textId="525A4975" w:rsidR="0098667C" w:rsidRDefault="0098667C" w:rsidP="009866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El sistema eléctrico de los sistemas de suministro de energía, están diseñados para que las operaciones posean información adecuada sobre las ayudas visuales- luces y el control de luces en casos de falla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C0FDF8" w14:textId="77777777" w:rsidR="0098667C" w:rsidRDefault="0098667C" w:rsidP="0098667C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>Verificar que:</w:t>
            </w:r>
          </w:p>
          <w:p w14:paraId="0DCF13F4" w14:textId="1671C1FC" w:rsidR="0098667C" w:rsidRPr="00267846" w:rsidRDefault="0098667C" w:rsidP="00267846">
            <w:pPr>
              <w:pStyle w:val="Prrafodelista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</w:rPr>
              <w:t>La fuente de energía secundaria es independiente al sistema principal siendo autónoma.</w:t>
            </w:r>
          </w:p>
          <w:p w14:paraId="6AA44A0D" w14:textId="77777777" w:rsidR="0098667C" w:rsidRPr="00267846" w:rsidRDefault="0098667C" w:rsidP="00267846">
            <w:pPr>
              <w:pStyle w:val="Prrafodelista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267846">
              <w:rPr>
                <w:rFonts w:ascii="Arial Narrow" w:hAnsi="Arial Narrow"/>
                <w:sz w:val="16"/>
                <w:szCs w:val="16"/>
              </w:rPr>
              <w:t>Cuando algún sector del área de maniobras disponga a la vez de luces de pista y luces de calles de rodaje, sus sistemas eléctricos están interconectados, para evitar que funcionen simultáneamente.</w:t>
            </w:r>
          </w:p>
          <w:p w14:paraId="42EB0509" w14:textId="2EAE2A94" w:rsidR="00267846" w:rsidRPr="00267846" w:rsidRDefault="00267846" w:rsidP="00267846">
            <w:pPr>
              <w:pStyle w:val="Prrafodelista"/>
              <w:ind w:left="316"/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</w:p>
        </w:tc>
        <w:tc>
          <w:tcPr>
            <w:tcW w:w="1559" w:type="dxa"/>
            <w:shd w:val="clear" w:color="auto" w:fill="auto"/>
          </w:tcPr>
          <w:p w14:paraId="4D2CFD11" w14:textId="77777777" w:rsidR="0098667C" w:rsidRDefault="0098667C" w:rsidP="0098667C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</w:tcPr>
          <w:p w14:paraId="51F54400" w14:textId="77777777" w:rsidR="0098667C" w:rsidRDefault="0098667C" w:rsidP="0098667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493E9123" w14:textId="77777777" w:rsidR="0098667C" w:rsidRDefault="0098667C" w:rsidP="0098667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52BD17" w14:textId="5B2937F8" w:rsidR="0098667C" w:rsidRDefault="0098667C" w:rsidP="009866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A.1</w:t>
            </w:r>
          </w:p>
        </w:tc>
      </w:tr>
      <w:tr w:rsidR="0098667C" w:rsidRPr="00EF6D4A" w14:paraId="780CCA4B" w14:textId="77777777" w:rsidTr="009D3204">
        <w:trPr>
          <w:trHeight w:val="1268"/>
        </w:trPr>
        <w:tc>
          <w:tcPr>
            <w:tcW w:w="567" w:type="dxa"/>
            <w:shd w:val="clear" w:color="auto" w:fill="auto"/>
            <w:vAlign w:val="center"/>
          </w:tcPr>
          <w:p w14:paraId="106AA1B3" w14:textId="3449AF38" w:rsidR="0098667C" w:rsidRPr="0054449B" w:rsidRDefault="0098667C" w:rsidP="0098667C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0625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A023A" w14:textId="09D3CE7D" w:rsidR="0098667C" w:rsidRPr="00C80FA5" w:rsidRDefault="0098667C" w:rsidP="009866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62811">
              <w:rPr>
                <w:rFonts w:ascii="Arial Narrow" w:hAnsi="Arial Narrow" w:cs="Times New Roman"/>
                <w:sz w:val="16"/>
                <w:szCs w:val="16"/>
              </w:rPr>
              <w:t>RAB 137 137.610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45FBD" w14:textId="1DA54E67" w:rsidR="0098667C" w:rsidRDefault="0098667C" w:rsidP="009866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El operador dispone de un dispositivo monitor del sistema de iluminación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BD99B6" w14:textId="3CC8800A" w:rsidR="0098667C" w:rsidRDefault="0098667C" w:rsidP="0098667C">
            <w:pPr>
              <w:jc w:val="both"/>
              <w:rPr>
                <w:rFonts w:ascii="Arial Narrow" w:hAnsi="Arial Narrow"/>
                <w:sz w:val="16"/>
                <w:szCs w:val="16"/>
                <w:lang w:val="es-PE"/>
              </w:rPr>
            </w:pPr>
            <w:r>
              <w:rPr>
                <w:rFonts w:ascii="Arial Narrow" w:hAnsi="Arial Narrow"/>
                <w:sz w:val="16"/>
                <w:szCs w:val="16"/>
                <w:lang w:val="es-PE"/>
              </w:rPr>
              <w:t xml:space="preserve">Verificar que </w:t>
            </w:r>
            <w:r w:rsidR="006B33E1">
              <w:rPr>
                <w:rFonts w:ascii="Arial Narrow" w:hAnsi="Arial Narrow"/>
                <w:sz w:val="16"/>
                <w:szCs w:val="16"/>
                <w:lang w:val="es-PE"/>
              </w:rPr>
              <w:t xml:space="preserve">se cuente con </w:t>
            </w:r>
            <w:r>
              <w:rPr>
                <w:rFonts w:ascii="Arial Narrow" w:hAnsi="Arial Narrow"/>
                <w:sz w:val="16"/>
                <w:szCs w:val="16"/>
                <w:lang w:val="es-PE"/>
              </w:rPr>
              <w:t>evidencia que asegure que:</w:t>
            </w:r>
          </w:p>
          <w:p w14:paraId="162DB5CA" w14:textId="17E8A0E1" w:rsidR="0098667C" w:rsidRDefault="006B33E1" w:rsidP="00267846">
            <w:pPr>
              <w:pStyle w:val="Prrafodelista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 c</w:t>
            </w:r>
            <w:r w:rsidR="0098667C">
              <w:rPr>
                <w:rFonts w:ascii="Arial Narrow" w:hAnsi="Arial Narrow"/>
                <w:sz w:val="16"/>
                <w:szCs w:val="16"/>
              </w:rPr>
              <w:t>uenta con dispositivo monitor para</w:t>
            </w:r>
            <w:r w:rsidR="0098667C" w:rsidRPr="00501510">
              <w:rPr>
                <w:rFonts w:ascii="Arial Narrow" w:hAnsi="Arial Narrow"/>
                <w:sz w:val="16"/>
                <w:szCs w:val="16"/>
                <w:lang w:val="es-MX"/>
              </w:rPr>
              <w:t xml:space="preserve"> indica</w:t>
            </w:r>
            <w:r w:rsidR="0098667C">
              <w:rPr>
                <w:rFonts w:ascii="Arial Narrow" w:hAnsi="Arial Narrow"/>
                <w:sz w:val="16"/>
                <w:szCs w:val="16"/>
                <w:lang w:val="es-MX"/>
              </w:rPr>
              <w:t>r</w:t>
            </w:r>
            <w:r w:rsidR="0098667C" w:rsidRPr="00501510">
              <w:rPr>
                <w:rFonts w:ascii="Arial Narrow" w:hAnsi="Arial Narrow"/>
                <w:sz w:val="16"/>
                <w:szCs w:val="16"/>
                <w:lang w:val="es-MX"/>
              </w:rPr>
              <w:t xml:space="preserve"> que el sistema de iluminación está en correcto funcionamiento</w:t>
            </w:r>
            <w:r w:rsidR="0098667C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0DF8A047" w14:textId="77777777" w:rsidR="0098667C" w:rsidRPr="00501510" w:rsidRDefault="0098667C" w:rsidP="00267846">
            <w:pPr>
              <w:pStyle w:val="Prrafodelista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01510">
              <w:rPr>
                <w:rFonts w:ascii="Arial Narrow" w:hAnsi="Arial Narrow"/>
                <w:sz w:val="16"/>
                <w:szCs w:val="16"/>
                <w:lang w:val="es-BO"/>
              </w:rPr>
              <w:t>Cuando se utilizan sistemas de iluminación para controlar las</w:t>
            </w:r>
            <w:r>
              <w:rPr>
                <w:rFonts w:ascii="Arial Narrow" w:hAnsi="Arial Narrow"/>
                <w:sz w:val="16"/>
                <w:szCs w:val="16"/>
                <w:lang w:val="es-BO"/>
              </w:rPr>
              <w:t xml:space="preserve"> aeronaves, dichos sistemas est</w:t>
            </w:r>
            <w:r w:rsidRPr="00501510">
              <w:rPr>
                <w:rFonts w:ascii="Arial Narrow" w:hAnsi="Arial Narrow"/>
                <w:sz w:val="16"/>
                <w:szCs w:val="16"/>
                <w:lang w:val="es-BO"/>
              </w:rPr>
              <w:t>án controlados automáticamente, de modo que indi</w:t>
            </w:r>
            <w:r>
              <w:rPr>
                <w:rFonts w:ascii="Arial Narrow" w:hAnsi="Arial Narrow"/>
                <w:sz w:val="16"/>
                <w:szCs w:val="16"/>
                <w:lang w:val="es-BO"/>
              </w:rPr>
              <w:t>ca</w:t>
            </w:r>
            <w:r w:rsidRPr="00501510">
              <w:rPr>
                <w:rFonts w:ascii="Arial Narrow" w:hAnsi="Arial Narrow"/>
                <w:sz w:val="16"/>
                <w:szCs w:val="16"/>
                <w:lang w:val="es-BO"/>
              </w:rPr>
              <w:t xml:space="preserve">n toda falla de índole tal que pudiera afectar a las funciones de control. </w:t>
            </w:r>
            <w:r>
              <w:rPr>
                <w:rFonts w:ascii="Arial Narrow" w:hAnsi="Arial Narrow"/>
                <w:sz w:val="16"/>
                <w:szCs w:val="16"/>
                <w:lang w:val="es-BO"/>
              </w:rPr>
              <w:t>Además, e</w:t>
            </w:r>
            <w:r w:rsidRPr="00501510">
              <w:rPr>
                <w:rFonts w:ascii="Arial Narrow" w:hAnsi="Arial Narrow"/>
                <w:sz w:val="16"/>
                <w:szCs w:val="16"/>
                <w:lang w:val="es-BO"/>
              </w:rPr>
              <w:t>sta información se retransmit</w:t>
            </w:r>
            <w:r>
              <w:rPr>
                <w:rFonts w:ascii="Arial Narrow" w:hAnsi="Arial Narrow"/>
                <w:sz w:val="16"/>
                <w:szCs w:val="16"/>
                <w:lang w:val="es-BO"/>
              </w:rPr>
              <w:t>e</w:t>
            </w:r>
            <w:r w:rsidRPr="00501510">
              <w:rPr>
                <w:rFonts w:ascii="Arial Narrow" w:hAnsi="Arial Narrow"/>
                <w:sz w:val="16"/>
                <w:szCs w:val="16"/>
                <w:lang w:val="es-BO"/>
              </w:rPr>
              <w:t xml:space="preserve"> inmediatamente a la dependencia </w:t>
            </w:r>
            <w:r>
              <w:rPr>
                <w:rFonts w:ascii="Arial Narrow" w:hAnsi="Arial Narrow"/>
                <w:sz w:val="16"/>
                <w:szCs w:val="16"/>
                <w:lang w:val="es-BO"/>
              </w:rPr>
              <w:t>ATS.</w:t>
            </w:r>
          </w:p>
          <w:p w14:paraId="520A8A22" w14:textId="6ED2F17B" w:rsidR="0098667C" w:rsidRDefault="0098667C" w:rsidP="00267846">
            <w:pPr>
              <w:pStyle w:val="Prrafodelista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01510">
              <w:rPr>
                <w:rFonts w:ascii="Arial Narrow" w:hAnsi="Arial Narrow"/>
                <w:sz w:val="16"/>
                <w:szCs w:val="16"/>
                <w:lang w:val="es-BO"/>
              </w:rPr>
              <w:t>Cuando ocurr</w:t>
            </w:r>
            <w:r>
              <w:rPr>
                <w:rFonts w:ascii="Arial Narrow" w:hAnsi="Arial Narrow"/>
                <w:sz w:val="16"/>
                <w:szCs w:val="16"/>
                <w:lang w:val="es-BO"/>
              </w:rPr>
              <w:t>e</w:t>
            </w:r>
            <w:r w:rsidRPr="00501510">
              <w:rPr>
                <w:rFonts w:ascii="Arial Narrow" w:hAnsi="Arial Narrow"/>
                <w:sz w:val="16"/>
                <w:szCs w:val="16"/>
                <w:lang w:val="es-BO"/>
              </w:rPr>
              <w:t xml:space="preserve"> un cambio de funcionamiento de las luces, se proporciona una indicación en menos de dos segundos para la barra de parada en el punto de espera de la pista y en menos de cinco segundos para todos los demás tipos de ayudas visuales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5998205" w14:textId="616E1D91" w:rsidR="00267846" w:rsidRPr="00267846" w:rsidRDefault="0098667C" w:rsidP="00267846">
            <w:pPr>
              <w:pStyle w:val="Prrafodelista"/>
              <w:numPr>
                <w:ilvl w:val="0"/>
                <w:numId w:val="9"/>
              </w:numPr>
              <w:ind w:left="316" w:hanging="14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67846">
              <w:rPr>
                <w:rFonts w:ascii="Arial Narrow" w:hAnsi="Arial Narrow"/>
                <w:sz w:val="16"/>
                <w:szCs w:val="16"/>
                <w:lang w:val="es-PE"/>
              </w:rPr>
              <w:t xml:space="preserve">Para condiciones de alcance visual inferior a 550m, los sistemas de iluminación están controlados automáticamente de modo que se indica si alguno de sus elementos funciona por debajo del mínimo especificado en la RAB </w:t>
            </w:r>
            <w:r w:rsidRPr="00267846">
              <w:rPr>
                <w:rFonts w:ascii="Arial Narrow" w:hAnsi="Arial Narrow"/>
                <w:sz w:val="16"/>
                <w:szCs w:val="16"/>
                <w:lang w:val="es-BO"/>
              </w:rPr>
              <w:t>137.143(g) a (k)</w:t>
            </w:r>
            <w:r w:rsidRPr="00267846">
              <w:rPr>
                <w:rFonts w:ascii="Arial Narrow" w:hAnsi="Arial Narrow"/>
                <w:sz w:val="16"/>
                <w:szCs w:val="16"/>
                <w:lang w:val="es-PE"/>
              </w:rPr>
              <w:t xml:space="preserve"> u otra disposición pertinente. Además, esta información se retransmite automáticamente a mantenimiento, al servicio ATS y aparece en un lugar prominente.</w:t>
            </w:r>
          </w:p>
        </w:tc>
        <w:tc>
          <w:tcPr>
            <w:tcW w:w="1559" w:type="dxa"/>
            <w:shd w:val="clear" w:color="auto" w:fill="auto"/>
          </w:tcPr>
          <w:p w14:paraId="5D1DC1AC" w14:textId="77777777" w:rsidR="0098667C" w:rsidRDefault="0098667C" w:rsidP="0098667C">
            <w:pPr>
              <w:pStyle w:val="Prrafodelista"/>
              <w:widowControl w:val="0"/>
              <w:tabs>
                <w:tab w:val="left" w:pos="310"/>
              </w:tabs>
              <w:spacing w:before="120"/>
              <w:ind w:left="34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</w:tcPr>
          <w:p w14:paraId="599BC4BD" w14:textId="77777777" w:rsidR="0098667C" w:rsidRDefault="0098667C" w:rsidP="0098667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47D77E05" w14:textId="77777777" w:rsidR="0098667C" w:rsidRDefault="0098667C" w:rsidP="0098667C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0A6D38" w14:textId="57551602" w:rsidR="0098667C" w:rsidRDefault="0098667C" w:rsidP="009866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A.2</w:t>
            </w:r>
          </w:p>
        </w:tc>
      </w:tr>
    </w:tbl>
    <w:p w14:paraId="011D2937" w14:textId="600B885E" w:rsidR="00BE29AD" w:rsidRPr="00643654" w:rsidRDefault="00BE29AD" w:rsidP="00267846">
      <w:pPr>
        <w:tabs>
          <w:tab w:val="left" w:pos="9193"/>
        </w:tabs>
      </w:pPr>
    </w:p>
    <w:sectPr w:rsidR="00BE29AD" w:rsidRPr="00643654" w:rsidSect="00662137">
      <w:footerReference w:type="default" r:id="rId8"/>
      <w:pgSz w:w="15840" w:h="12240" w:orient="landscape"/>
      <w:pgMar w:top="1134" w:right="138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9ACEF" w14:textId="77777777" w:rsidR="00F21559" w:rsidRDefault="00F21559" w:rsidP="004D5296">
      <w:r>
        <w:separator/>
      </w:r>
    </w:p>
  </w:endnote>
  <w:endnote w:type="continuationSeparator" w:id="0">
    <w:p w14:paraId="7F6FA376" w14:textId="77777777" w:rsidR="00F21559" w:rsidRDefault="00F21559" w:rsidP="004D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DAF98" w14:textId="02A5F658" w:rsidR="0095315B" w:rsidRPr="00931999" w:rsidRDefault="002A1376" w:rsidP="00662137">
    <w:pPr>
      <w:pStyle w:val="Piedepgina"/>
      <w:pBdr>
        <w:top w:val="single" w:sz="4" w:space="0" w:color="auto"/>
      </w:pBdr>
      <w:tabs>
        <w:tab w:val="clear" w:pos="4419"/>
        <w:tab w:val="clear" w:pos="8838"/>
        <w:tab w:val="right" w:pos="12863"/>
      </w:tabs>
      <w:ind w:left="426"/>
      <w:jc w:val="both"/>
      <w:rPr>
        <w:rFonts w:ascii="Arial Narrow" w:hAnsi="Arial Narrow" w:cs="Arial"/>
        <w:sz w:val="16"/>
        <w:szCs w:val="16"/>
      </w:rPr>
    </w:pPr>
    <w:r w:rsidRPr="00643654">
      <w:rPr>
        <w:rFonts w:ascii="Arial Narrow" w:hAnsi="Arial Narrow" w:cs="Arial"/>
        <w:sz w:val="16"/>
        <w:szCs w:val="16"/>
      </w:rPr>
      <w:t>Formulario de Autoevaluación</w:t>
    </w:r>
    <w:r>
      <w:rPr>
        <w:rFonts w:ascii="Arial Narrow" w:hAnsi="Arial Narrow" w:cs="Arial"/>
        <w:sz w:val="16"/>
        <w:szCs w:val="16"/>
      </w:rPr>
      <w:t>: 0</w:t>
    </w:r>
    <w:r w:rsidR="00254A69">
      <w:rPr>
        <w:rFonts w:ascii="Arial Narrow" w:hAnsi="Arial Narrow" w:cs="Arial"/>
        <w:sz w:val="16"/>
        <w:szCs w:val="16"/>
      </w:rPr>
      <w:t>6</w:t>
    </w:r>
    <w:r>
      <w:rPr>
        <w:rFonts w:ascii="Arial Narrow" w:hAnsi="Arial Narrow" w:cs="Arial"/>
        <w:sz w:val="16"/>
        <w:szCs w:val="16"/>
      </w:rPr>
      <w:t xml:space="preserve"> </w:t>
    </w:r>
    <w:r w:rsidR="00C04B7D">
      <w:rPr>
        <w:rFonts w:ascii="Arial Narrow" w:hAnsi="Arial Narrow" w:cs="Arial"/>
        <w:sz w:val="16"/>
        <w:szCs w:val="16"/>
      </w:rPr>
      <w:t>–</w:t>
    </w:r>
    <w:r>
      <w:rPr>
        <w:rFonts w:ascii="Arial Narrow" w:hAnsi="Arial Narrow" w:cs="Arial"/>
        <w:sz w:val="16"/>
        <w:szCs w:val="16"/>
      </w:rPr>
      <w:t xml:space="preserve"> </w:t>
    </w:r>
    <w:r w:rsidR="00254A69">
      <w:rPr>
        <w:rFonts w:ascii="Arial Narrow" w:hAnsi="Arial Narrow" w:cs="Arial"/>
        <w:sz w:val="16"/>
        <w:szCs w:val="16"/>
      </w:rPr>
      <w:t>Sistemas Eléctricos en Aeródromos</w:t>
    </w:r>
    <w:r w:rsidR="00662137">
      <w:rPr>
        <w:rFonts w:ascii="Arial Narrow" w:hAnsi="Arial Narrow" w:cs="Arial"/>
        <w:sz w:val="16"/>
        <w:szCs w:val="16"/>
      </w:rPr>
      <w:t xml:space="preserve">   </w:t>
    </w:r>
    <w:r w:rsidR="0095315B" w:rsidRPr="00931999">
      <w:rPr>
        <w:rFonts w:ascii="Arial Narrow" w:hAnsi="Arial Narrow" w:cs="Arial"/>
        <w:sz w:val="16"/>
        <w:szCs w:val="16"/>
      </w:rPr>
      <w:tab/>
    </w:r>
    <w:r w:rsidR="00662137">
      <w:rPr>
        <w:rFonts w:ascii="Arial Narrow" w:hAnsi="Arial Narrow" w:cs="Arial"/>
        <w:sz w:val="16"/>
        <w:szCs w:val="16"/>
      </w:rPr>
      <w:t xml:space="preserve">               </w:t>
    </w:r>
    <w:r w:rsidR="0095315B" w:rsidRPr="00931999">
      <w:rPr>
        <w:rFonts w:ascii="Arial Narrow" w:hAnsi="Arial Narrow" w:cs="Arial"/>
        <w:sz w:val="16"/>
        <w:szCs w:val="16"/>
      </w:rPr>
      <w:t xml:space="preserve">Página Nº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PAGE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AA6778">
      <w:rPr>
        <w:rFonts w:ascii="Arial Narrow" w:hAnsi="Arial Narrow" w:cs="Arial"/>
        <w:noProof/>
        <w:sz w:val="16"/>
        <w:szCs w:val="16"/>
      </w:rPr>
      <w:t>1</w:t>
    </w:r>
    <w:r w:rsidR="0095315B" w:rsidRPr="00931999">
      <w:rPr>
        <w:rFonts w:ascii="Arial Narrow" w:hAnsi="Arial Narrow" w:cs="Arial"/>
        <w:sz w:val="16"/>
        <w:szCs w:val="16"/>
      </w:rPr>
      <w:fldChar w:fldCharType="end"/>
    </w:r>
    <w:r w:rsidR="0095315B" w:rsidRPr="00931999">
      <w:rPr>
        <w:rFonts w:ascii="Arial Narrow" w:hAnsi="Arial Narrow" w:cs="Arial"/>
        <w:sz w:val="16"/>
        <w:szCs w:val="16"/>
      </w:rPr>
      <w:t xml:space="preserve"> de </w:t>
    </w:r>
    <w:r w:rsidR="0095315B" w:rsidRPr="00931999">
      <w:rPr>
        <w:rFonts w:ascii="Arial Narrow" w:hAnsi="Arial Narrow" w:cs="Arial"/>
        <w:sz w:val="16"/>
        <w:szCs w:val="16"/>
      </w:rPr>
      <w:fldChar w:fldCharType="begin"/>
    </w:r>
    <w:r w:rsidR="0095315B" w:rsidRPr="00931999">
      <w:rPr>
        <w:rFonts w:ascii="Arial Narrow" w:hAnsi="Arial Narrow" w:cs="Arial"/>
        <w:sz w:val="16"/>
        <w:szCs w:val="16"/>
      </w:rPr>
      <w:instrText xml:space="preserve"> NUMPAGES   \* MERGEFORMAT </w:instrText>
    </w:r>
    <w:r w:rsidR="0095315B" w:rsidRPr="00931999">
      <w:rPr>
        <w:rFonts w:ascii="Arial Narrow" w:hAnsi="Arial Narrow" w:cs="Arial"/>
        <w:sz w:val="16"/>
        <w:szCs w:val="16"/>
      </w:rPr>
      <w:fldChar w:fldCharType="separate"/>
    </w:r>
    <w:r w:rsidR="00AA6778">
      <w:rPr>
        <w:rFonts w:ascii="Arial Narrow" w:hAnsi="Arial Narrow" w:cs="Arial"/>
        <w:noProof/>
        <w:sz w:val="16"/>
        <w:szCs w:val="16"/>
      </w:rPr>
      <w:t>2</w:t>
    </w:r>
    <w:r w:rsidR="0095315B" w:rsidRPr="00931999">
      <w:rPr>
        <w:rFonts w:ascii="Arial Narrow" w:hAnsi="Arial Narrow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4122C" w14:textId="77777777" w:rsidR="00F21559" w:rsidRDefault="00F21559" w:rsidP="004D5296">
      <w:r>
        <w:separator/>
      </w:r>
    </w:p>
  </w:footnote>
  <w:footnote w:type="continuationSeparator" w:id="0">
    <w:p w14:paraId="72823DC9" w14:textId="77777777" w:rsidR="00F21559" w:rsidRDefault="00F21559" w:rsidP="004D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3100"/>
    <w:multiLevelType w:val="hybridMultilevel"/>
    <w:tmpl w:val="113A39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61760"/>
    <w:multiLevelType w:val="hybridMultilevel"/>
    <w:tmpl w:val="C4CEC3E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4B51"/>
    <w:multiLevelType w:val="hybridMultilevel"/>
    <w:tmpl w:val="F9168D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EE42E4"/>
    <w:multiLevelType w:val="hybridMultilevel"/>
    <w:tmpl w:val="3084C3D6"/>
    <w:lvl w:ilvl="0" w:tplc="9B0A5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9071F"/>
    <w:multiLevelType w:val="hybridMultilevel"/>
    <w:tmpl w:val="B5DEB0C2"/>
    <w:lvl w:ilvl="0" w:tplc="D8E8CC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007E0"/>
    <w:multiLevelType w:val="hybridMultilevel"/>
    <w:tmpl w:val="BAECA912"/>
    <w:lvl w:ilvl="0" w:tplc="821CD1E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50428"/>
    <w:multiLevelType w:val="hybridMultilevel"/>
    <w:tmpl w:val="4D8E97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1CD1EA">
      <w:start w:val="5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2F2104"/>
    <w:multiLevelType w:val="hybridMultilevel"/>
    <w:tmpl w:val="1076D9BA"/>
    <w:lvl w:ilvl="0" w:tplc="77B4900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F2993"/>
    <w:multiLevelType w:val="hybridMultilevel"/>
    <w:tmpl w:val="DCECDC6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656107"/>
    <w:multiLevelType w:val="hybridMultilevel"/>
    <w:tmpl w:val="6076017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D17D2"/>
    <w:multiLevelType w:val="hybridMultilevel"/>
    <w:tmpl w:val="62F4BA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Wh0Yj4yU0yyq/Qoh7W7u7SJ8mUaf4ndw6x0CUfu00i57uA+cskdqUD9Hx6sb1aYFwU2HrD1SwpAXrd/2o0gjrg==" w:salt="s3G+NBTFqflvSVHzshLv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96"/>
    <w:rsid w:val="00000C13"/>
    <w:rsid w:val="0001751F"/>
    <w:rsid w:val="00040516"/>
    <w:rsid w:val="000437E1"/>
    <w:rsid w:val="00044C3B"/>
    <w:rsid w:val="00046D93"/>
    <w:rsid w:val="00064687"/>
    <w:rsid w:val="00064F1A"/>
    <w:rsid w:val="00071A25"/>
    <w:rsid w:val="000B1C71"/>
    <w:rsid w:val="000B1CEC"/>
    <w:rsid w:val="000B3CF4"/>
    <w:rsid w:val="000C22E8"/>
    <w:rsid w:val="000C52A5"/>
    <w:rsid w:val="000D711E"/>
    <w:rsid w:val="000D7BCB"/>
    <w:rsid w:val="000E4012"/>
    <w:rsid w:val="00105048"/>
    <w:rsid w:val="001075EE"/>
    <w:rsid w:val="0011245E"/>
    <w:rsid w:val="001175E7"/>
    <w:rsid w:val="00125ED5"/>
    <w:rsid w:val="00131565"/>
    <w:rsid w:val="0014633E"/>
    <w:rsid w:val="001533DA"/>
    <w:rsid w:val="00164F7C"/>
    <w:rsid w:val="00177271"/>
    <w:rsid w:val="001850EF"/>
    <w:rsid w:val="0019480A"/>
    <w:rsid w:val="001A4096"/>
    <w:rsid w:val="001A47D2"/>
    <w:rsid w:val="001B0AC0"/>
    <w:rsid w:val="001B0C6A"/>
    <w:rsid w:val="001C13D1"/>
    <w:rsid w:val="001C28F6"/>
    <w:rsid w:val="001C5231"/>
    <w:rsid w:val="001D082E"/>
    <w:rsid w:val="001E579F"/>
    <w:rsid w:val="001F0253"/>
    <w:rsid w:val="001F7729"/>
    <w:rsid w:val="00200921"/>
    <w:rsid w:val="00202355"/>
    <w:rsid w:val="00206C9A"/>
    <w:rsid w:val="00206CEA"/>
    <w:rsid w:val="00227AC7"/>
    <w:rsid w:val="00230465"/>
    <w:rsid w:val="00254A69"/>
    <w:rsid w:val="0026037C"/>
    <w:rsid w:val="00267846"/>
    <w:rsid w:val="002730F4"/>
    <w:rsid w:val="00275E46"/>
    <w:rsid w:val="00280E42"/>
    <w:rsid w:val="00281891"/>
    <w:rsid w:val="0028468B"/>
    <w:rsid w:val="00292397"/>
    <w:rsid w:val="002A1376"/>
    <w:rsid w:val="002A31CB"/>
    <w:rsid w:val="002B0BF2"/>
    <w:rsid w:val="002B1D7C"/>
    <w:rsid w:val="002B3C72"/>
    <w:rsid w:val="002B44D6"/>
    <w:rsid w:val="002C5E37"/>
    <w:rsid w:val="002E24F0"/>
    <w:rsid w:val="002E42C9"/>
    <w:rsid w:val="002E6C42"/>
    <w:rsid w:val="002F22F4"/>
    <w:rsid w:val="0031664F"/>
    <w:rsid w:val="00330D2C"/>
    <w:rsid w:val="00336635"/>
    <w:rsid w:val="00337A2C"/>
    <w:rsid w:val="003411CF"/>
    <w:rsid w:val="00345BD8"/>
    <w:rsid w:val="00346DEA"/>
    <w:rsid w:val="00347735"/>
    <w:rsid w:val="003505D4"/>
    <w:rsid w:val="00351117"/>
    <w:rsid w:val="003932D1"/>
    <w:rsid w:val="0039580A"/>
    <w:rsid w:val="003B4CB8"/>
    <w:rsid w:val="003C1F49"/>
    <w:rsid w:val="003D3639"/>
    <w:rsid w:val="003D3E5C"/>
    <w:rsid w:val="00406789"/>
    <w:rsid w:val="004168E2"/>
    <w:rsid w:val="0042005B"/>
    <w:rsid w:val="00422102"/>
    <w:rsid w:val="00423CAD"/>
    <w:rsid w:val="004240E1"/>
    <w:rsid w:val="0042642E"/>
    <w:rsid w:val="00447A0B"/>
    <w:rsid w:val="00451032"/>
    <w:rsid w:val="00451D7C"/>
    <w:rsid w:val="004568DA"/>
    <w:rsid w:val="00456B9D"/>
    <w:rsid w:val="00460099"/>
    <w:rsid w:val="004728DE"/>
    <w:rsid w:val="00477752"/>
    <w:rsid w:val="0048293F"/>
    <w:rsid w:val="004869B7"/>
    <w:rsid w:val="00491242"/>
    <w:rsid w:val="00492747"/>
    <w:rsid w:val="004A1B3A"/>
    <w:rsid w:val="004A44A0"/>
    <w:rsid w:val="004B3167"/>
    <w:rsid w:val="004B4769"/>
    <w:rsid w:val="004D5296"/>
    <w:rsid w:val="004D6DC1"/>
    <w:rsid w:val="004D7D86"/>
    <w:rsid w:val="004E6FF0"/>
    <w:rsid w:val="004F393B"/>
    <w:rsid w:val="004F70AA"/>
    <w:rsid w:val="005103E8"/>
    <w:rsid w:val="005244C2"/>
    <w:rsid w:val="0054449B"/>
    <w:rsid w:val="00557AB0"/>
    <w:rsid w:val="0058348D"/>
    <w:rsid w:val="00586545"/>
    <w:rsid w:val="0059752C"/>
    <w:rsid w:val="005A185B"/>
    <w:rsid w:val="005A45C9"/>
    <w:rsid w:val="005C143C"/>
    <w:rsid w:val="005C62C8"/>
    <w:rsid w:val="005D12B5"/>
    <w:rsid w:val="005D181D"/>
    <w:rsid w:val="005D25A7"/>
    <w:rsid w:val="005E3F7C"/>
    <w:rsid w:val="005E4962"/>
    <w:rsid w:val="005E7445"/>
    <w:rsid w:val="005F7739"/>
    <w:rsid w:val="006016D7"/>
    <w:rsid w:val="006178E9"/>
    <w:rsid w:val="00623F67"/>
    <w:rsid w:val="0064158A"/>
    <w:rsid w:val="00643654"/>
    <w:rsid w:val="006614BF"/>
    <w:rsid w:val="00662137"/>
    <w:rsid w:val="00680B83"/>
    <w:rsid w:val="006A04BF"/>
    <w:rsid w:val="006A47D8"/>
    <w:rsid w:val="006A5F38"/>
    <w:rsid w:val="006B33E1"/>
    <w:rsid w:val="006B444C"/>
    <w:rsid w:val="006C42AC"/>
    <w:rsid w:val="006C484D"/>
    <w:rsid w:val="006D3181"/>
    <w:rsid w:val="006D5D39"/>
    <w:rsid w:val="006F2FC1"/>
    <w:rsid w:val="0072093B"/>
    <w:rsid w:val="00727ABE"/>
    <w:rsid w:val="00750CD2"/>
    <w:rsid w:val="0075604C"/>
    <w:rsid w:val="00774AAC"/>
    <w:rsid w:val="0077749C"/>
    <w:rsid w:val="0078542B"/>
    <w:rsid w:val="007912DA"/>
    <w:rsid w:val="007A081F"/>
    <w:rsid w:val="007A1C83"/>
    <w:rsid w:val="007A79C3"/>
    <w:rsid w:val="007B5658"/>
    <w:rsid w:val="007C3D80"/>
    <w:rsid w:val="007D430D"/>
    <w:rsid w:val="007E2110"/>
    <w:rsid w:val="007E464D"/>
    <w:rsid w:val="00800F9F"/>
    <w:rsid w:val="008437C5"/>
    <w:rsid w:val="00844705"/>
    <w:rsid w:val="0086418C"/>
    <w:rsid w:val="00871E78"/>
    <w:rsid w:val="00875454"/>
    <w:rsid w:val="00875865"/>
    <w:rsid w:val="00882D64"/>
    <w:rsid w:val="008879CC"/>
    <w:rsid w:val="00887A0B"/>
    <w:rsid w:val="00896D40"/>
    <w:rsid w:val="008A6E0E"/>
    <w:rsid w:val="008B74B0"/>
    <w:rsid w:val="008C0F22"/>
    <w:rsid w:val="008D26EE"/>
    <w:rsid w:val="008D2960"/>
    <w:rsid w:val="008D76CA"/>
    <w:rsid w:val="008E2385"/>
    <w:rsid w:val="008E5439"/>
    <w:rsid w:val="008F2D60"/>
    <w:rsid w:val="008F473B"/>
    <w:rsid w:val="00901A3B"/>
    <w:rsid w:val="009021A3"/>
    <w:rsid w:val="009102C8"/>
    <w:rsid w:val="00924FC5"/>
    <w:rsid w:val="0092730A"/>
    <w:rsid w:val="00931999"/>
    <w:rsid w:val="00943D80"/>
    <w:rsid w:val="0095315B"/>
    <w:rsid w:val="009578E4"/>
    <w:rsid w:val="009634A4"/>
    <w:rsid w:val="009636B8"/>
    <w:rsid w:val="00971F88"/>
    <w:rsid w:val="00980269"/>
    <w:rsid w:val="0098667C"/>
    <w:rsid w:val="009B0EC0"/>
    <w:rsid w:val="009B320A"/>
    <w:rsid w:val="009C02B8"/>
    <w:rsid w:val="009C3BC2"/>
    <w:rsid w:val="009D3204"/>
    <w:rsid w:val="009E6F6B"/>
    <w:rsid w:val="009F46AB"/>
    <w:rsid w:val="009F6512"/>
    <w:rsid w:val="009F7680"/>
    <w:rsid w:val="00A004FD"/>
    <w:rsid w:val="00A049A0"/>
    <w:rsid w:val="00A10251"/>
    <w:rsid w:val="00A310E3"/>
    <w:rsid w:val="00A424FE"/>
    <w:rsid w:val="00A46149"/>
    <w:rsid w:val="00A5248C"/>
    <w:rsid w:val="00A526CD"/>
    <w:rsid w:val="00A55BDD"/>
    <w:rsid w:val="00A60B61"/>
    <w:rsid w:val="00A73E8D"/>
    <w:rsid w:val="00A747D1"/>
    <w:rsid w:val="00AA6778"/>
    <w:rsid w:val="00AB0820"/>
    <w:rsid w:val="00AD1093"/>
    <w:rsid w:val="00AD3C9B"/>
    <w:rsid w:val="00AE05B2"/>
    <w:rsid w:val="00AF6374"/>
    <w:rsid w:val="00B05861"/>
    <w:rsid w:val="00B17F6D"/>
    <w:rsid w:val="00B30C0C"/>
    <w:rsid w:val="00B3788D"/>
    <w:rsid w:val="00B404CB"/>
    <w:rsid w:val="00B46BD5"/>
    <w:rsid w:val="00B47A58"/>
    <w:rsid w:val="00B54DF9"/>
    <w:rsid w:val="00B71FFF"/>
    <w:rsid w:val="00B81C31"/>
    <w:rsid w:val="00BA15CC"/>
    <w:rsid w:val="00BC37C0"/>
    <w:rsid w:val="00BE29AD"/>
    <w:rsid w:val="00BE5DE1"/>
    <w:rsid w:val="00C04B7D"/>
    <w:rsid w:val="00C15AA4"/>
    <w:rsid w:val="00C25460"/>
    <w:rsid w:val="00C25A0C"/>
    <w:rsid w:val="00C25A78"/>
    <w:rsid w:val="00C25E90"/>
    <w:rsid w:val="00C276FB"/>
    <w:rsid w:val="00C34BE0"/>
    <w:rsid w:val="00C45BC4"/>
    <w:rsid w:val="00C473E9"/>
    <w:rsid w:val="00C60D53"/>
    <w:rsid w:val="00C63230"/>
    <w:rsid w:val="00C6461E"/>
    <w:rsid w:val="00C65A38"/>
    <w:rsid w:val="00C65CDC"/>
    <w:rsid w:val="00C72BA8"/>
    <w:rsid w:val="00C76040"/>
    <w:rsid w:val="00C80FA5"/>
    <w:rsid w:val="00C87646"/>
    <w:rsid w:val="00C87B1C"/>
    <w:rsid w:val="00C96ED0"/>
    <w:rsid w:val="00CB40FA"/>
    <w:rsid w:val="00CC1596"/>
    <w:rsid w:val="00CD5125"/>
    <w:rsid w:val="00CF117C"/>
    <w:rsid w:val="00CF1C5C"/>
    <w:rsid w:val="00CF3CD4"/>
    <w:rsid w:val="00CF4821"/>
    <w:rsid w:val="00D07927"/>
    <w:rsid w:val="00D24D5F"/>
    <w:rsid w:val="00D31B9A"/>
    <w:rsid w:val="00D31BD8"/>
    <w:rsid w:val="00D325B5"/>
    <w:rsid w:val="00D335FD"/>
    <w:rsid w:val="00D43889"/>
    <w:rsid w:val="00D4419C"/>
    <w:rsid w:val="00D52471"/>
    <w:rsid w:val="00D5358E"/>
    <w:rsid w:val="00D57993"/>
    <w:rsid w:val="00D62024"/>
    <w:rsid w:val="00D71640"/>
    <w:rsid w:val="00D72AF4"/>
    <w:rsid w:val="00D86BA4"/>
    <w:rsid w:val="00D90770"/>
    <w:rsid w:val="00D90963"/>
    <w:rsid w:val="00D924D3"/>
    <w:rsid w:val="00D93291"/>
    <w:rsid w:val="00D96691"/>
    <w:rsid w:val="00DA2679"/>
    <w:rsid w:val="00DA79DB"/>
    <w:rsid w:val="00DB5977"/>
    <w:rsid w:val="00DB6B16"/>
    <w:rsid w:val="00DC3ACD"/>
    <w:rsid w:val="00DC4175"/>
    <w:rsid w:val="00DD5AA2"/>
    <w:rsid w:val="00DE76A0"/>
    <w:rsid w:val="00DF3F67"/>
    <w:rsid w:val="00E02F64"/>
    <w:rsid w:val="00E10051"/>
    <w:rsid w:val="00E336D9"/>
    <w:rsid w:val="00E4414F"/>
    <w:rsid w:val="00E46F82"/>
    <w:rsid w:val="00E61104"/>
    <w:rsid w:val="00E71466"/>
    <w:rsid w:val="00E7157C"/>
    <w:rsid w:val="00E73A7E"/>
    <w:rsid w:val="00E80D2D"/>
    <w:rsid w:val="00E83F72"/>
    <w:rsid w:val="00E85776"/>
    <w:rsid w:val="00EB56F2"/>
    <w:rsid w:val="00EC3CF4"/>
    <w:rsid w:val="00EC3F86"/>
    <w:rsid w:val="00ED3523"/>
    <w:rsid w:val="00ED5FE2"/>
    <w:rsid w:val="00EE0DC8"/>
    <w:rsid w:val="00EE3318"/>
    <w:rsid w:val="00EF21F5"/>
    <w:rsid w:val="00EF4E4D"/>
    <w:rsid w:val="00EF5437"/>
    <w:rsid w:val="00EF62A0"/>
    <w:rsid w:val="00EF6D4A"/>
    <w:rsid w:val="00F054B1"/>
    <w:rsid w:val="00F07B0E"/>
    <w:rsid w:val="00F14A1D"/>
    <w:rsid w:val="00F21559"/>
    <w:rsid w:val="00F34E64"/>
    <w:rsid w:val="00F40803"/>
    <w:rsid w:val="00F6256C"/>
    <w:rsid w:val="00F77FE3"/>
    <w:rsid w:val="00F80CF4"/>
    <w:rsid w:val="00F9564B"/>
    <w:rsid w:val="00FA3AE4"/>
    <w:rsid w:val="00FC65DC"/>
    <w:rsid w:val="00FD2E77"/>
    <w:rsid w:val="00FD3534"/>
    <w:rsid w:val="00FD45E2"/>
    <w:rsid w:val="00FE044F"/>
    <w:rsid w:val="00FF3433"/>
    <w:rsid w:val="00FF531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546CE"/>
  <w15:chartTrackingRefBased/>
  <w15:docId w15:val="{E199D382-F2E7-4AED-87C9-5D36089B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1D"/>
    <w:pPr>
      <w:spacing w:after="0" w:line="240" w:lineRule="auto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296"/>
  </w:style>
  <w:style w:type="paragraph" w:styleId="Piedepgina">
    <w:name w:val="footer"/>
    <w:basedOn w:val="Normal"/>
    <w:link w:val="PiedepginaCar"/>
    <w:uiPriority w:val="99"/>
    <w:unhideWhenUsed/>
    <w:rsid w:val="004D52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96"/>
  </w:style>
  <w:style w:type="table" w:styleId="Tablaconcuadrcula">
    <w:name w:val="Table Grid"/>
    <w:basedOn w:val="Tablanormal"/>
    <w:uiPriority w:val="39"/>
    <w:rsid w:val="0091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4A1D"/>
    <w:pPr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D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D4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85776"/>
    <w:rPr>
      <w:color w:val="808080"/>
    </w:rPr>
  </w:style>
  <w:style w:type="paragraph" w:customStyle="1" w:styleId="Default">
    <w:name w:val="Default"/>
    <w:rsid w:val="009866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EB1B-BD21-4972-A773-803308791203}"/>
      </w:docPartPr>
      <w:docPartBody>
        <w:p w:rsidR="00662F03" w:rsidRDefault="009F5123">
          <w:r w:rsidRPr="00CA751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3"/>
    <w:rsid w:val="00383B14"/>
    <w:rsid w:val="004D428A"/>
    <w:rsid w:val="00662F03"/>
    <w:rsid w:val="008E148A"/>
    <w:rsid w:val="009F5123"/>
    <w:rsid w:val="00A222E9"/>
    <w:rsid w:val="00A50B6D"/>
    <w:rsid w:val="00AF362A"/>
    <w:rsid w:val="00B12A61"/>
    <w:rsid w:val="00CA0D42"/>
    <w:rsid w:val="00D30A96"/>
    <w:rsid w:val="00DD1A12"/>
    <w:rsid w:val="00EA36BA"/>
    <w:rsid w:val="00EB597C"/>
    <w:rsid w:val="00F8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5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A60EA-1926-4180-A62E-832FDD70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Dulfredo Delgado Rua</dc:creator>
  <cp:keywords/>
  <dc:description/>
  <cp:lastModifiedBy>Sistemas</cp:lastModifiedBy>
  <cp:revision>7</cp:revision>
  <cp:lastPrinted>2017-06-16T18:33:00Z</cp:lastPrinted>
  <dcterms:created xsi:type="dcterms:W3CDTF">2020-06-25T15:32:00Z</dcterms:created>
  <dcterms:modified xsi:type="dcterms:W3CDTF">2022-01-31T18:26:00Z</dcterms:modified>
</cp:coreProperties>
</file>